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6CA8" w14:textId="77777777" w:rsidR="00806154" w:rsidRPr="008906C3" w:rsidRDefault="00806154" w:rsidP="0080615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GAIA VISNAR BIO</w:t>
      </w:r>
    </w:p>
    <w:p w14:paraId="1CD361B3" w14:textId="462FAD6B" w:rsidR="00806154" w:rsidRPr="00806154" w:rsidRDefault="00806154" w:rsidP="0080615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Born into a Slovenian acting family, Gaia </w:t>
      </w:r>
      <w:proofErr w:type="spellStart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Visnar</w:t>
      </w:r>
      <w:proofErr w:type="spellEnd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grew up as a theatre kid and has been actively involved in her country’s acting community. In addition to an extensive international acting education, she is a graduate of Circle in the Square Theatre School in New York City</w:t>
      </w:r>
      <w:r w:rsidR="00F235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3538" w:rsidRPr="00F23538">
        <w:rPr>
          <w:rFonts w:ascii="Times New Roman" w:hAnsi="Times New Roman" w:cs="Times New Roman" w:hint="cs"/>
          <w:color w:val="000000"/>
          <w:sz w:val="28"/>
          <w:szCs w:val="28"/>
        </w:rPr>
        <w:t>where she lived and worked for a decade</w:t>
      </w:r>
      <w:r w:rsidR="00F235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Her performance as Claire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Maids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with The Seeing Place Theatre earned her a 2019 NYITA nomination for Outstanding Actress in a Leading Role. Other 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USA 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credits include the titular role in an international adaptation of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Antigone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(Outer Gaea Company – UK), Emmy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A Doll’s House, Part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2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(Living Room Theatre), Various Parts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i/>
          <w:iCs/>
          <w:color w:val="000000"/>
          <w:sz w:val="28"/>
          <w:szCs w:val="28"/>
        </w:rPr>
        <w:t>Brecht on Brecht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(Theatre Breaking Through Barriers), Ismene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People Vs. Antigone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(The Seeing Place Theatre), Maria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Twelfth Night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(The Lady Shakes Theatre Company), Paige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Doorman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(HB Playwrights Theatre)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>, and others.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Following her passion for promoting and exploring female narrative, she has collaborated with </w:t>
      </w:r>
      <w:proofErr w:type="spellStart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Transforma</w:t>
      </w:r>
      <w:proofErr w:type="spellEnd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Theatre on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Female Role Model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and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Science in Theatre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projects. 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Her European credits include 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Young Hannah in </w:t>
      </w:r>
      <w:r w:rsidR="008906C3" w:rsidRPr="00890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Hannah Arendt: (in)human condition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(Mini Teater, SI), </w:t>
      </w:r>
      <w:r w:rsidR="008906C3" w:rsidRPr="00806154">
        <w:rPr>
          <w:rFonts w:ascii="Times New Roman" w:hAnsi="Times New Roman" w:cs="Times New Roman" w:hint="cs"/>
          <w:color w:val="000000"/>
          <w:sz w:val="28"/>
          <w:szCs w:val="28"/>
        </w:rPr>
        <w:t>Aglaya in</w:t>
      </w:r>
      <w:r w:rsidR="008906C3"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="008906C3"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Soap Opera</w:t>
      </w:r>
      <w:r w:rsidR="008906C3" w:rsidRPr="00806154">
        <w:rPr>
          <w:rFonts w:ascii="Times New Roman" w:hAnsi="Times New Roman" w:cs="Times New Roman" w:hint="cs"/>
          <w:color w:val="000000"/>
          <w:sz w:val="28"/>
          <w:szCs w:val="28"/>
        </w:rPr>
        <w:t>, adaptation of Dostoyevsky's Idiot (</w:t>
      </w:r>
      <w:proofErr w:type="spellStart"/>
      <w:r w:rsidR="008906C3" w:rsidRPr="00806154">
        <w:rPr>
          <w:rFonts w:ascii="Times New Roman" w:hAnsi="Times New Roman" w:cs="Times New Roman" w:hint="cs"/>
          <w:color w:val="000000"/>
          <w:sz w:val="28"/>
          <w:szCs w:val="28"/>
        </w:rPr>
        <w:t>Glej</w:t>
      </w:r>
      <w:proofErr w:type="spellEnd"/>
      <w:r w:rsidR="008906C3"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Theatre), </w:t>
      </w:r>
      <w:r w:rsidR="008906C3"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End of the World in Three Act</w:t>
      </w:r>
      <w:r w:rsidR="008906C3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 xml:space="preserve">s, 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8906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co-production between Serbia, Croatia and Slovenia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,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F23538">
        <w:rPr>
          <w:rFonts w:ascii="Times New Roman" w:hAnsi="Times New Roman" w:cs="Times New Roman"/>
          <w:color w:val="000000"/>
          <w:sz w:val="28"/>
          <w:szCs w:val="28"/>
        </w:rPr>
        <w:t xml:space="preserve">one-woman play </w:t>
      </w:r>
      <w:r w:rsidR="00F23538" w:rsidRPr="00F23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Madam Judit</w:t>
      </w:r>
      <w:r w:rsidR="00F23538">
        <w:rPr>
          <w:rFonts w:ascii="Times New Roman" w:hAnsi="Times New Roman" w:cs="Times New Roman"/>
          <w:color w:val="000000"/>
          <w:sz w:val="28"/>
          <w:szCs w:val="28"/>
        </w:rPr>
        <w:t>, a dramatization of one of Slovenian’s most famous authors Ivan Cankar’s prose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>, which is starting a world tour in fall of 2025.</w:t>
      </w:r>
      <w:r w:rsidR="00F23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6C3"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Her recent Film and TV 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credits </w:t>
      </w:r>
      <w:proofErr w:type="gramStart"/>
      <w:r w:rsidR="008906C3">
        <w:rPr>
          <w:rFonts w:ascii="Times New Roman" w:hAnsi="Times New Roman" w:cs="Times New Roman"/>
          <w:color w:val="000000"/>
          <w:sz w:val="28"/>
          <w:szCs w:val="28"/>
        </w:rPr>
        <w:t>include:</w:t>
      </w:r>
      <w:proofErr w:type="gramEnd"/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feature film </w:t>
      </w:r>
      <w:r w:rsidR="008906C3" w:rsidRPr="00890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 Lost Son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by Darko </w:t>
      </w:r>
      <w:proofErr w:type="spellStart"/>
      <w:r w:rsidR="008906C3">
        <w:rPr>
          <w:rFonts w:ascii="Times New Roman" w:hAnsi="Times New Roman" w:cs="Times New Roman"/>
          <w:color w:val="000000"/>
          <w:sz w:val="28"/>
          <w:szCs w:val="28"/>
        </w:rPr>
        <w:t>Štante</w:t>
      </w:r>
      <w:proofErr w:type="spellEnd"/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>(SI)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, series </w:t>
      </w:r>
      <w:r w:rsidR="008906C3" w:rsidRPr="00890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Libera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(IT), </w:t>
      </w:r>
      <w:r w:rsidR="008906C3" w:rsidRPr="00890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Ja, Chef!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(SI) and </w:t>
      </w:r>
      <w:r w:rsidR="008906C3" w:rsidRPr="00890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Telenovela</w:t>
      </w:r>
      <w:r w:rsidR="008906C3">
        <w:rPr>
          <w:rFonts w:ascii="Times New Roman" w:hAnsi="Times New Roman" w:cs="Times New Roman"/>
          <w:color w:val="000000"/>
          <w:sz w:val="28"/>
          <w:szCs w:val="28"/>
        </w:rPr>
        <w:t xml:space="preserve"> (SI) as well as several commercials and educational projects. 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She is an ensemble member of TBTB Theater</w:t>
      </w:r>
      <w:r w:rsidR="00F23538">
        <w:rPr>
          <w:rFonts w:ascii="Times New Roman" w:hAnsi="Times New Roman" w:cs="Times New Roman"/>
          <w:color w:val="000000"/>
          <w:sz w:val="28"/>
          <w:szCs w:val="28"/>
        </w:rPr>
        <w:t xml:space="preserve"> in NYC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, a member of EWA (European Women's Audiovisual network) and FIA (European Federation of Actors). Follow her at www.gaiavisnar.com or @gaiavisnar.</w:t>
      </w:r>
    </w:p>
    <w:sectPr w:rsidR="00806154" w:rsidRPr="0080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4"/>
    <w:rsid w:val="00246998"/>
    <w:rsid w:val="006F60DF"/>
    <w:rsid w:val="00762B7A"/>
    <w:rsid w:val="00806154"/>
    <w:rsid w:val="008906C3"/>
    <w:rsid w:val="00F2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F86AA"/>
  <w15:chartTrackingRefBased/>
  <w15:docId w15:val="{AF8AA461-F46A-014E-BC7D-1815759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15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06154"/>
  </w:style>
  <w:style w:type="character" w:styleId="Emphasis">
    <w:name w:val="Emphasis"/>
    <w:basedOn w:val="DefaultParagraphFont"/>
    <w:uiPriority w:val="20"/>
    <w:qFormat/>
    <w:rsid w:val="0080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Isabella  M. Sebastian</dc:creator>
  <cp:keywords/>
  <dc:description/>
  <cp:lastModifiedBy>Erika Šturm Višnar</cp:lastModifiedBy>
  <cp:revision>4</cp:revision>
  <dcterms:created xsi:type="dcterms:W3CDTF">2024-04-03T07:56:00Z</dcterms:created>
  <dcterms:modified xsi:type="dcterms:W3CDTF">2025-06-18T15:47:00Z</dcterms:modified>
</cp:coreProperties>
</file>